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 w:rsidRPr="00200A1B">
        <w:rPr>
          <w:rFonts w:ascii="Times New Roman" w:hAnsi="Times New Roman"/>
          <w:b/>
          <w:bCs/>
          <w:sz w:val="16"/>
          <w:szCs w:val="16"/>
          <w:highlight w:val="yellow"/>
        </w:rPr>
        <w:t>Likes/Dislikes:</w:t>
      </w:r>
      <w:r>
        <w:rPr>
          <w:rFonts w:ascii="Times New Roman" w:hAnsi="Times New Roman"/>
          <w:bCs/>
          <w:sz w:val="16"/>
          <w:szCs w:val="16"/>
          <w:highlight w:val="yellow"/>
        </w:rPr>
        <w:t xml:space="preserve"> </w:t>
      </w:r>
    </w:p>
    <w:p w:rsidR="005B2BEE" w:rsidRPr="00B02AFD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>All written work goes in the Class work section.  All notes go in the Notes section.  Carefully follow the instructions, of course.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 w:rsidRPr="00B02AFD">
        <w:rPr>
          <w:rFonts w:ascii="Times New Roman" w:hAnsi="Times New Roman"/>
          <w:bCs/>
          <w:sz w:val="16"/>
          <w:szCs w:val="16"/>
          <w:highlight w:val="yellow"/>
        </w:rPr>
        <w:t>p. 7</w:t>
      </w:r>
      <w:r>
        <w:rPr>
          <w:rFonts w:ascii="Times New Roman" w:hAnsi="Times New Roman"/>
          <w:bCs/>
          <w:sz w:val="16"/>
          <w:szCs w:val="16"/>
          <w:highlight w:val="yellow"/>
        </w:rPr>
        <w:t>2</w:t>
      </w:r>
      <w:r w:rsidRPr="00B02AFD">
        <w:rPr>
          <w:rFonts w:ascii="Times New Roman" w:hAnsi="Times New Roman"/>
          <w:bCs/>
          <w:sz w:val="16"/>
          <w:szCs w:val="16"/>
          <w:highlight w:val="yellow"/>
        </w:rPr>
        <w:t>-7</w:t>
      </w:r>
      <w:r>
        <w:rPr>
          <w:rFonts w:ascii="Times New Roman" w:hAnsi="Times New Roman"/>
          <w:bCs/>
          <w:sz w:val="16"/>
          <w:szCs w:val="16"/>
          <w:highlight w:val="yellow"/>
        </w:rPr>
        <w:t>3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>Read all, copy &amp; translate captions, number the captions 1-4.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>P. 74-75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 xml:space="preserve"> Read all. Note the “language comparisons” (possible extra credit questions?). Copy the info. </w:t>
      </w:r>
      <w:proofErr w:type="gramStart"/>
      <w:r>
        <w:rPr>
          <w:rFonts w:ascii="Times New Roman" w:hAnsi="Times New Roman"/>
          <w:bCs/>
          <w:sz w:val="16"/>
          <w:szCs w:val="16"/>
          <w:highlight w:val="yellow"/>
        </w:rPr>
        <w:t>from</w:t>
      </w:r>
      <w:proofErr w:type="gramEnd"/>
      <w:r>
        <w:rPr>
          <w:rFonts w:ascii="Times New Roman" w:hAnsi="Times New Roman"/>
          <w:bCs/>
          <w:sz w:val="16"/>
          <w:szCs w:val="16"/>
          <w:highlight w:val="yellow"/>
        </w:rPr>
        <w:t xml:space="preserve"> “How to talk about what you like and don’t like to do:” Complete activity 1, 1-</w:t>
      </w:r>
      <w:r w:rsidRPr="00200A1B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>5</w:t>
      </w:r>
      <w:r>
        <w:rPr>
          <w:rFonts w:ascii="Times New Roman" w:hAnsi="Times New Roman"/>
          <w:bCs/>
          <w:sz w:val="16"/>
          <w:szCs w:val="16"/>
          <w:highlight w:val="yellow"/>
        </w:rPr>
        <w:t>,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 xml:space="preserve"> P76, Acts 2, 3 &amp; 4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</w:p>
    <w:p w:rsidR="005B2BEE" w:rsidRPr="00B02AFD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 xml:space="preserve"> Write your part of the conversations.  Your part means, write half the questions &amp; the other half write the responses.  When there is an option, answer half in the affirmative and half in the negative.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 w:rsidRPr="007B5754">
        <w:rPr>
          <w:rFonts w:ascii="Times New Roman" w:hAnsi="Times New Roman"/>
          <w:b/>
          <w:bCs/>
          <w:sz w:val="16"/>
          <w:szCs w:val="16"/>
          <w:highlight w:val="yellow"/>
        </w:rPr>
        <w:t>Writing</w:t>
      </w:r>
      <w:r w:rsidRPr="00B02AFD">
        <w:rPr>
          <w:rFonts w:ascii="Times New Roman" w:hAnsi="Times New Roman"/>
          <w:bCs/>
          <w:sz w:val="16"/>
          <w:szCs w:val="16"/>
          <w:highlight w:val="yellow"/>
        </w:rPr>
        <w:t xml:space="preserve"> p.81 act 6</w:t>
      </w:r>
      <w:r>
        <w:rPr>
          <w:rFonts w:ascii="Times New Roman" w:hAnsi="Times New Roman"/>
          <w:bCs/>
          <w:sz w:val="16"/>
          <w:szCs w:val="16"/>
          <w:highlight w:val="yellow"/>
        </w:rPr>
        <w:t>, do all three parts.</w:t>
      </w:r>
    </w:p>
    <w:p w:rsidR="005B2BEE" w:rsidRDefault="005B2BEE" w:rsidP="005B2BEE">
      <w:pPr>
        <w:rPr>
          <w:rFonts w:ascii="Times New Roman" w:hAnsi="Times New Roman"/>
          <w:i/>
          <w:sz w:val="16"/>
          <w:szCs w:val="16"/>
        </w:rPr>
      </w:pPr>
    </w:p>
    <w:p w:rsidR="005B2BEE" w:rsidRDefault="005B2BEE" w:rsidP="005B2BEE">
      <w:pPr>
        <w:rPr>
          <w:rFonts w:ascii="Times New Roman" w:hAnsi="Times New Roman"/>
          <w:i/>
          <w:sz w:val="16"/>
          <w:szCs w:val="16"/>
        </w:rPr>
      </w:pPr>
    </w:p>
    <w:p w:rsidR="005B2BEE" w:rsidRPr="005A2F9A" w:rsidRDefault="005B2BEE" w:rsidP="005B2BEE">
      <w:pPr>
        <w:rPr>
          <w:rFonts w:ascii="Times New Roman" w:hAnsi="Times New Roman"/>
          <w:bCs/>
          <w:sz w:val="16"/>
          <w:szCs w:val="16"/>
        </w:rPr>
      </w:pPr>
    </w:p>
    <w:p w:rsidR="005B2BEE" w:rsidRPr="00E11EF1" w:rsidRDefault="005B2BEE" w:rsidP="005B2BEE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Unit 1</w:t>
      </w:r>
    </w:p>
    <w:p w:rsidR="005B2BEE" w:rsidRPr="00B02AFD" w:rsidRDefault="005B2BEE" w:rsidP="005B2BEE">
      <w:pPr>
        <w:rPr>
          <w:rFonts w:ascii="Times New Roman" w:hAnsi="Times New Roman"/>
          <w:b/>
          <w:bCs/>
          <w:sz w:val="16"/>
          <w:szCs w:val="16"/>
          <w:highlight w:val="yellow"/>
        </w:rPr>
      </w:pPr>
      <w:r w:rsidRPr="00B02AFD">
        <w:rPr>
          <w:rFonts w:ascii="Times New Roman" w:hAnsi="Times New Roman"/>
          <w:b/>
          <w:bCs/>
          <w:sz w:val="16"/>
          <w:szCs w:val="16"/>
          <w:highlight w:val="yellow"/>
        </w:rPr>
        <w:t>Essential Structures</w:t>
      </w:r>
    </w:p>
    <w:p w:rsidR="005B2BEE" w:rsidRDefault="005B2BEE" w:rsidP="005B2BEE">
      <w:pPr>
        <w:rPr>
          <w:rFonts w:ascii="Times New Roman" w:hAnsi="Times New Roman"/>
          <w:b/>
          <w:bCs/>
          <w:sz w:val="16"/>
          <w:szCs w:val="16"/>
          <w:highlight w:val="yellow"/>
        </w:rPr>
      </w:pPr>
      <w:r w:rsidRPr="00B02AFD">
        <w:rPr>
          <w:rFonts w:ascii="Times New Roman" w:hAnsi="Times New Roman"/>
          <w:b/>
          <w:bCs/>
          <w:sz w:val="16"/>
          <w:szCs w:val="16"/>
          <w:highlight w:val="yellow"/>
        </w:rPr>
        <w:t>Integrated Grammar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>
        <w:rPr>
          <w:rFonts w:ascii="Times New Roman" w:hAnsi="Times New Roman"/>
          <w:bCs/>
          <w:sz w:val="16"/>
          <w:szCs w:val="16"/>
          <w:highlight w:val="yellow"/>
        </w:rPr>
        <w:t>Discovering French textbook</w:t>
      </w:r>
    </w:p>
    <w:p w:rsidR="005B2BEE" w:rsidRDefault="005B2BEE" w:rsidP="005B2BEE">
      <w:pPr>
        <w:rPr>
          <w:rFonts w:ascii="Times New Roman" w:hAnsi="Times New Roman"/>
          <w:b/>
          <w:bCs/>
          <w:sz w:val="16"/>
          <w:szCs w:val="16"/>
          <w:highlight w:val="yellow"/>
        </w:rPr>
      </w:pPr>
      <w:r w:rsidRPr="00E872DC">
        <w:rPr>
          <w:rFonts w:ascii="Times New Roman" w:hAnsi="Times New Roman"/>
          <w:b/>
          <w:bCs/>
          <w:sz w:val="16"/>
          <w:szCs w:val="16"/>
          <w:highlight w:val="yellow"/>
        </w:rPr>
        <w:t>Definite/indefinite articles</w:t>
      </w:r>
    </w:p>
    <w:p w:rsidR="005B2BEE" w:rsidRDefault="005B2BEE" w:rsidP="005B2BEE">
      <w:pPr>
        <w:rPr>
          <w:rFonts w:ascii="Times New Roman" w:hAnsi="Times New Roman"/>
          <w:bCs/>
          <w:sz w:val="16"/>
          <w:szCs w:val="16"/>
          <w:highlight w:val="yellow"/>
        </w:rPr>
      </w:pPr>
      <w:r w:rsidRPr="00B02AFD">
        <w:rPr>
          <w:rFonts w:ascii="Times New Roman" w:hAnsi="Times New Roman"/>
          <w:bCs/>
          <w:sz w:val="16"/>
          <w:szCs w:val="16"/>
          <w:highlight w:val="yellow"/>
        </w:rPr>
        <w:t xml:space="preserve"> p. 28, </w:t>
      </w:r>
      <w:r>
        <w:rPr>
          <w:rFonts w:ascii="Times New Roman" w:hAnsi="Times New Roman"/>
          <w:bCs/>
          <w:sz w:val="16"/>
          <w:szCs w:val="16"/>
          <w:highlight w:val="yellow"/>
        </w:rPr>
        <w:t>Read all, copy green box in your notes, be prepared to conduct speaking activities 1, 2 &amp; 3.</w:t>
      </w:r>
    </w:p>
    <w:p w:rsidR="002E4DBA" w:rsidRDefault="005B2BEE" w:rsidP="005B2BEE">
      <w:r>
        <w:rPr>
          <w:rFonts w:ascii="Times New Roman" w:hAnsi="Times New Roman"/>
          <w:bCs/>
          <w:sz w:val="16"/>
          <w:szCs w:val="16"/>
          <w:highlight w:val="yellow"/>
        </w:rPr>
        <w:t xml:space="preserve"> P. </w:t>
      </w:r>
      <w:r w:rsidRPr="00B02AFD">
        <w:rPr>
          <w:rFonts w:ascii="Times New Roman" w:hAnsi="Times New Roman"/>
          <w:bCs/>
          <w:sz w:val="16"/>
          <w:szCs w:val="16"/>
          <w:highlight w:val="yellow"/>
        </w:rPr>
        <w:t xml:space="preserve">32, </w:t>
      </w:r>
      <w:r>
        <w:rPr>
          <w:rFonts w:ascii="Times New Roman" w:hAnsi="Times New Roman"/>
          <w:bCs/>
          <w:sz w:val="16"/>
          <w:szCs w:val="16"/>
          <w:highlight w:val="yellow"/>
        </w:rPr>
        <w:t xml:space="preserve">Read all. Note the Petit </w:t>
      </w:r>
      <w:proofErr w:type="spellStart"/>
      <w:r>
        <w:rPr>
          <w:rFonts w:ascii="Times New Roman" w:hAnsi="Times New Roman"/>
          <w:bCs/>
          <w:sz w:val="16"/>
          <w:szCs w:val="16"/>
          <w:highlight w:val="yellow"/>
        </w:rPr>
        <w:t>Commentaire</w:t>
      </w:r>
      <w:proofErr w:type="spellEnd"/>
      <w:r>
        <w:rPr>
          <w:rFonts w:ascii="Times New Roman" w:hAnsi="Times New Roman"/>
          <w:bCs/>
          <w:sz w:val="16"/>
          <w:szCs w:val="16"/>
          <w:highlight w:val="yellow"/>
        </w:rPr>
        <w:t xml:space="preserve"> (possible extra credit questions?). Copy the green box info. </w:t>
      </w:r>
      <w:proofErr w:type="gramStart"/>
      <w:r>
        <w:rPr>
          <w:rFonts w:ascii="Times New Roman" w:hAnsi="Times New Roman"/>
          <w:bCs/>
          <w:sz w:val="16"/>
          <w:szCs w:val="16"/>
          <w:highlight w:val="yellow"/>
        </w:rPr>
        <w:t>into</w:t>
      </w:r>
      <w:proofErr w:type="gramEnd"/>
      <w:r>
        <w:rPr>
          <w:rFonts w:ascii="Times New Roman" w:hAnsi="Times New Roman"/>
          <w:bCs/>
          <w:sz w:val="16"/>
          <w:szCs w:val="16"/>
          <w:highlight w:val="yellow"/>
        </w:rPr>
        <w:t xml:space="preserve"> your </w:t>
      </w:r>
      <w:r w:rsidRPr="0022459D">
        <w:rPr>
          <w:rFonts w:ascii="Times New Roman" w:hAnsi="Times New Roman"/>
          <w:bCs/>
          <w:sz w:val="16"/>
          <w:szCs w:val="16"/>
          <w:highlight w:val="yellow"/>
        </w:rPr>
        <w:t>notes</w:t>
      </w:r>
      <w:r>
        <w:rPr>
          <w:rFonts w:ascii="Times New Roman" w:hAnsi="Times New Roman"/>
          <w:bCs/>
          <w:sz w:val="16"/>
          <w:szCs w:val="16"/>
          <w:highlight w:val="yellow"/>
        </w:rPr>
        <w:t xml:space="preserve"> section.  Write out the responses to Act. 1, Act 2, write both questions &amp; responses</w:t>
      </w:r>
    </w:p>
    <w:sectPr w:rsidR="002E4DBA" w:rsidSect="002E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5B2BEE"/>
    <w:rsid w:val="002E4DBA"/>
    <w:rsid w:val="003378B9"/>
    <w:rsid w:val="005B2BEE"/>
    <w:rsid w:val="00B2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connie.olsen</dc:creator>
  <cp:keywords>(dis)likes, (in)definite articles class/home work Jan 13, 2015</cp:keywords>
  <cp:lastModifiedBy>connie.olsen</cp:lastModifiedBy>
  <cp:revision>1</cp:revision>
  <dcterms:created xsi:type="dcterms:W3CDTF">2015-01-13T18:28:00Z</dcterms:created>
  <dcterms:modified xsi:type="dcterms:W3CDTF">2015-01-13T18:32:00Z</dcterms:modified>
</cp:coreProperties>
</file>